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240" w:before="240" w:line="240" w:lineRule="auto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Universidade de São Paulo</w:t>
      </w:r>
    </w:p>
    <w:p w:rsidR="00000000" w:rsidDel="00000000" w:rsidP="00000000" w:rsidRDefault="00000000" w:rsidRPr="00000000" w14:paraId="00000002">
      <w:pPr>
        <w:spacing w:after="240" w:before="240" w:line="240" w:lineRule="auto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Especialização em Promoção do Desenvolvimento Infantil</w:t>
      </w:r>
    </w:p>
    <w:p w:rsidR="00000000" w:rsidDel="00000000" w:rsidP="00000000" w:rsidRDefault="00000000" w:rsidRPr="00000000" w14:paraId="00000003">
      <w:pPr>
        <w:spacing w:after="240" w:before="240" w:line="240" w:lineRule="auto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Curso: Inovação na solução de problemas sociais complexos (30h)</w:t>
      </w:r>
    </w:p>
    <w:p w:rsidR="00000000" w:rsidDel="00000000" w:rsidP="00000000" w:rsidRDefault="00000000" w:rsidRPr="00000000" w14:paraId="00000004">
      <w:pPr>
        <w:spacing w:after="240" w:before="240" w:line="240" w:lineRule="auto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Docentes: Fernanda Veríssimo Soulé e Silvio Eduardo Alvarez Candido</w:t>
      </w:r>
    </w:p>
    <w:p w:rsidR="00000000" w:rsidDel="00000000" w:rsidP="00000000" w:rsidRDefault="00000000" w:rsidRPr="00000000" w14:paraId="00000005">
      <w:pPr>
        <w:spacing w:after="240" w:before="240" w:lineRule="auto"/>
        <w:jc w:val="center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06">
      <w:pPr>
        <w:spacing w:after="240" w:before="240" w:lineRule="auto"/>
        <w:jc w:val="both"/>
        <w:rPr>
          <w:b w:val="1"/>
        </w:rPr>
      </w:pPr>
      <w:r w:rsidDel="00000000" w:rsidR="00000000" w:rsidRPr="00000000">
        <w:rPr>
          <w:b w:val="1"/>
          <w:rtl w:val="0"/>
        </w:rPr>
        <w:t xml:space="preserve">Objetivos</w:t>
      </w:r>
    </w:p>
    <w:p w:rsidR="00000000" w:rsidDel="00000000" w:rsidP="00000000" w:rsidRDefault="00000000" w:rsidRPr="00000000" w14:paraId="00000007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O propósito do curso é apresentar um conjunto de estratégias e técnicas para a resolução inovadora de problemas sociais complexos e discutir sua aplicação no contexto da promoção do desenvolvimento infantil.    </w:t>
      </w:r>
    </w:p>
    <w:p w:rsidR="00000000" w:rsidDel="00000000" w:rsidP="00000000" w:rsidRDefault="00000000" w:rsidRPr="00000000" w14:paraId="00000008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240" w:before="240" w:lineRule="auto"/>
        <w:jc w:val="both"/>
        <w:rPr>
          <w:b w:val="1"/>
        </w:rPr>
      </w:pPr>
      <w:r w:rsidDel="00000000" w:rsidR="00000000" w:rsidRPr="00000000">
        <w:rPr>
          <w:b w:val="1"/>
          <w:rtl w:val="0"/>
        </w:rPr>
        <w:t xml:space="preserve">Diretrizes metodológicas</w:t>
      </w:r>
    </w:p>
    <w:p w:rsidR="00000000" w:rsidDel="00000000" w:rsidP="00000000" w:rsidRDefault="00000000" w:rsidRPr="00000000" w14:paraId="0000000A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O curso envolverá uma combinação de exposições dos docentes e de exercícios em grupos protagonizados pelos alunos. Os grupos formados serão interdisciplinares, envolvendo discentes com diferentes formações e atuações profissionais. O grupo de trabalho será fixo para todas as atividades do curso, e seu desempenho será a base da avaliação dos alunos.</w:t>
      </w:r>
    </w:p>
    <w:p w:rsidR="00000000" w:rsidDel="00000000" w:rsidP="00000000" w:rsidRDefault="00000000" w:rsidRPr="00000000" w14:paraId="0000000B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240" w:before="240" w:lineRule="auto"/>
        <w:jc w:val="both"/>
        <w:rPr>
          <w:b w:val="1"/>
        </w:rPr>
      </w:pPr>
      <w:r w:rsidDel="00000000" w:rsidR="00000000" w:rsidRPr="00000000">
        <w:rPr>
          <w:b w:val="1"/>
          <w:rtl w:val="0"/>
        </w:rPr>
        <w:t xml:space="preserve">Programa de aulas</w:t>
      </w:r>
    </w:p>
    <w:tbl>
      <w:tblPr>
        <w:tblStyle w:val="Table1"/>
        <w:tblW w:w="9015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755"/>
        <w:gridCol w:w="3165"/>
        <w:gridCol w:w="4095"/>
        <w:tblGridChange w:id="0">
          <w:tblGrid>
            <w:gridCol w:w="1755"/>
            <w:gridCol w:w="3165"/>
            <w:gridCol w:w="4095"/>
          </w:tblGrid>
        </w:tblGridChange>
      </w:tblGrid>
      <w:t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Dia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Tópicos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Conteúdos</w:t>
            </w:r>
          </w:p>
        </w:tc>
      </w:tr>
      <w:tr>
        <w:trPr>
          <w:trHeight w:val="420" w:hRule="atLeast"/>
        </w:trPr>
        <w:tc>
          <w:tcPr>
            <w:vMerge w:val="restart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06/12/2018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Apresentação do curso e alinhamento de expectativas</w:t>
            </w:r>
          </w:p>
        </w:tc>
      </w:tr>
      <w:tr>
        <w:trPr>
          <w:trHeight w:val="420" w:hRule="atLeast"/>
        </w:trPr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Definindo problemas complexos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widowControl w:val="0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Problemas simples e sua resolução</w:t>
            </w:r>
          </w:p>
          <w:p w:rsidR="00000000" w:rsidDel="00000000" w:rsidP="00000000" w:rsidRDefault="00000000" w:rsidRPr="00000000" w14:paraId="00000016">
            <w:pPr>
              <w:keepNext w:val="0"/>
              <w:keepLines w:val="0"/>
              <w:widowControl w:val="0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sz w:val="20"/>
                <w:szCs w:val="20"/>
                <w:u w:val="none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Problemas complexos e sua resolução</w:t>
            </w:r>
          </w:p>
          <w:p w:rsidR="00000000" w:rsidDel="00000000" w:rsidP="00000000" w:rsidRDefault="00000000" w:rsidRPr="00000000" w14:paraId="00000017">
            <w:pPr>
              <w:keepNext w:val="0"/>
              <w:keepLines w:val="0"/>
              <w:widowControl w:val="0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sz w:val="20"/>
                <w:szCs w:val="20"/>
                <w:u w:val="none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Problemas sociais complexos em Desenvolvimento Infantil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20" w:hRule="atLeast"/>
        </w:trPr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Mobilização e organização para resolução de problemas complexos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widowControl w:val="0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sz w:val="20"/>
                <w:szCs w:val="20"/>
                <w:u w:val="none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Iniciativas em redes multi-setoriais para a resolução de problemas complexos</w:t>
            </w:r>
          </w:p>
          <w:p w:rsidR="00000000" w:rsidDel="00000000" w:rsidP="00000000" w:rsidRDefault="00000000" w:rsidRPr="00000000" w14:paraId="0000001B">
            <w:pPr>
              <w:keepNext w:val="0"/>
              <w:keepLines w:val="0"/>
              <w:widowControl w:val="0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sz w:val="20"/>
                <w:szCs w:val="20"/>
                <w:u w:val="none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Identificação e análise de grupos de interesse (stakeholders)</w:t>
            </w:r>
          </w:p>
          <w:p w:rsidR="00000000" w:rsidDel="00000000" w:rsidP="00000000" w:rsidRDefault="00000000" w:rsidRPr="00000000" w14:paraId="0000001C">
            <w:pPr>
              <w:keepNext w:val="0"/>
              <w:keepLines w:val="0"/>
              <w:widowControl w:val="0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sz w:val="20"/>
                <w:szCs w:val="20"/>
                <w:u w:val="none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Noções de</w:t>
            </w:r>
            <w:r w:rsidDel="00000000" w:rsidR="00000000" w:rsidRPr="00000000">
              <w:rPr>
                <w:i w:val="1"/>
                <w:sz w:val="20"/>
                <w:szCs w:val="20"/>
                <w:rtl w:val="0"/>
              </w:rPr>
              <w:t xml:space="preserve"> storytelling</w:t>
            </w:r>
          </w:p>
          <w:p w:rsidR="00000000" w:rsidDel="00000000" w:rsidP="00000000" w:rsidRDefault="00000000" w:rsidRPr="00000000" w14:paraId="0000001D">
            <w:pPr>
              <w:keepNext w:val="0"/>
              <w:keepLines w:val="0"/>
              <w:widowControl w:val="0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Acordos para mediar as relações </w:t>
            </w:r>
          </w:p>
        </w:tc>
      </w:tr>
      <w:tr>
        <w:trPr>
          <w:trHeight w:val="420" w:hRule="atLeast"/>
        </w:trPr>
        <w:tc>
          <w:tcPr>
            <w:vMerge w:val="restart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13/12/2018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Diagnosticando problemas desestruturados e definindo focos estratégicos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sz w:val="20"/>
                <w:szCs w:val="20"/>
                <w:u w:val="none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Introdução ao Design Thinking</w:t>
            </w:r>
          </w:p>
          <w:p w:rsidR="00000000" w:rsidDel="00000000" w:rsidP="00000000" w:rsidRDefault="00000000" w:rsidRPr="00000000" w14:paraId="00000021">
            <w:pPr>
              <w:widowControl w:val="0"/>
              <w:numPr>
                <w:ilvl w:val="0"/>
                <w:numId w:val="1"/>
              </w:numPr>
              <w:spacing w:line="240" w:lineRule="auto"/>
              <w:ind w:left="720" w:hanging="36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Identificando e comunicando o desafio estratégico</w:t>
            </w:r>
          </w:p>
          <w:p w:rsidR="00000000" w:rsidDel="00000000" w:rsidP="00000000" w:rsidRDefault="00000000" w:rsidRPr="00000000" w14:paraId="00000022">
            <w:pPr>
              <w:widowControl w:val="0"/>
              <w:numPr>
                <w:ilvl w:val="0"/>
                <w:numId w:val="1"/>
              </w:numPr>
              <w:spacing w:line="240" w:lineRule="auto"/>
              <w:ind w:left="720" w:hanging="360"/>
              <w:rPr>
                <w:sz w:val="20"/>
                <w:szCs w:val="20"/>
                <w:u w:val="none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Compreensão abstrata versus compreensão prática dos problemas</w:t>
            </w:r>
          </w:p>
          <w:p w:rsidR="00000000" w:rsidDel="00000000" w:rsidP="00000000" w:rsidRDefault="00000000" w:rsidRPr="00000000" w14:paraId="00000023">
            <w:pPr>
              <w:keepNext w:val="0"/>
              <w:keepLines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sz w:val="20"/>
                <w:szCs w:val="20"/>
                <w:u w:val="none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Compreensão dos problemas no contexto das relações sociais</w:t>
            </w:r>
          </w:p>
          <w:p w:rsidR="00000000" w:rsidDel="00000000" w:rsidP="00000000" w:rsidRDefault="00000000" w:rsidRPr="00000000" w14:paraId="00000024">
            <w:pPr>
              <w:keepNext w:val="0"/>
              <w:keepLines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sz w:val="20"/>
                <w:szCs w:val="20"/>
                <w:u w:val="none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Ferramentas: Pesquisa etnográfica, Entrevistas, Grupos focais e grupos não focais</w:t>
            </w:r>
          </w:p>
        </w:tc>
      </w:tr>
      <w:tr>
        <w:trPr>
          <w:trHeight w:val="420" w:hRule="atLeast"/>
        </w:trPr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Construindo soluções inovadoras para problemas sociais complexos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sz w:val="20"/>
                <w:szCs w:val="20"/>
                <w:u w:val="none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Inovação e eficiência, duas lógicas distintas</w:t>
            </w:r>
          </w:p>
          <w:p w:rsidR="00000000" w:rsidDel="00000000" w:rsidP="00000000" w:rsidRDefault="00000000" w:rsidRPr="00000000" w14:paraId="00000028">
            <w:pPr>
              <w:keepNext w:val="0"/>
              <w:keepLines w:val="0"/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sz w:val="20"/>
                <w:szCs w:val="20"/>
                <w:u w:val="none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Definindo e combinando pensamento divergente e convergente</w:t>
            </w:r>
          </w:p>
          <w:p w:rsidR="00000000" w:rsidDel="00000000" w:rsidP="00000000" w:rsidRDefault="00000000" w:rsidRPr="00000000" w14:paraId="00000029">
            <w:pPr>
              <w:keepNext w:val="0"/>
              <w:keepLines w:val="0"/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sz w:val="20"/>
                <w:szCs w:val="20"/>
                <w:u w:val="none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Ambientes organizacionais inovadores (adhocracias x burocracias)</w:t>
            </w:r>
          </w:p>
          <w:p w:rsidR="00000000" w:rsidDel="00000000" w:rsidP="00000000" w:rsidRDefault="00000000" w:rsidRPr="00000000" w14:paraId="0000002A">
            <w:pPr>
              <w:keepNext w:val="0"/>
              <w:keepLines w:val="0"/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sz w:val="20"/>
                <w:szCs w:val="20"/>
                <w:u w:val="none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Ferramentas para a criação de ideias: brainstorming; brainwriting; world cafe, pensamento visual.</w:t>
            </w:r>
          </w:p>
          <w:p w:rsidR="00000000" w:rsidDel="00000000" w:rsidP="00000000" w:rsidRDefault="00000000" w:rsidRPr="00000000" w14:paraId="0000002B">
            <w:pPr>
              <w:keepNext w:val="0"/>
              <w:keepLines w:val="0"/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sz w:val="20"/>
                <w:szCs w:val="20"/>
                <w:u w:val="none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Pré-seleção de ideias e criação de convergências</w:t>
            </w:r>
          </w:p>
        </w:tc>
      </w:tr>
      <w:tr>
        <w:trPr>
          <w:trHeight w:val="420" w:hRule="atLeast"/>
        </w:trPr>
        <w:tc>
          <w:tcPr>
            <w:vMerge w:val="restart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07/02/2019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Construindo soluções inovadoras para problemas sociais complexos (cont)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widowControl w:val="0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sz w:val="20"/>
                <w:szCs w:val="20"/>
                <w:u w:val="none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Concretização de ideias e teste de conceitos</w:t>
            </w:r>
          </w:p>
          <w:p w:rsidR="00000000" w:rsidDel="00000000" w:rsidP="00000000" w:rsidRDefault="00000000" w:rsidRPr="00000000" w14:paraId="0000002F">
            <w:pPr>
              <w:keepNext w:val="0"/>
              <w:keepLines w:val="0"/>
              <w:widowControl w:val="0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sz w:val="20"/>
                <w:szCs w:val="20"/>
                <w:u w:val="none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Técnicas para desenvolvimento e refinamento de ideias: pensamento integrativo e bricolagem, imersão, prototipagem</w:t>
            </w:r>
          </w:p>
          <w:p w:rsidR="00000000" w:rsidDel="00000000" w:rsidP="00000000" w:rsidRDefault="00000000" w:rsidRPr="00000000" w14:paraId="00000030">
            <w:pPr>
              <w:keepNext w:val="0"/>
              <w:keepLines w:val="0"/>
              <w:widowControl w:val="0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sz w:val="20"/>
                <w:szCs w:val="20"/>
                <w:u w:val="none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Soluções minimamente viáveis e implementação de pilotos</w:t>
            </w:r>
          </w:p>
          <w:p w:rsidR="00000000" w:rsidDel="00000000" w:rsidP="00000000" w:rsidRDefault="00000000" w:rsidRPr="00000000" w14:paraId="00000031">
            <w:pPr>
              <w:keepNext w:val="0"/>
              <w:keepLines w:val="0"/>
              <w:widowControl w:val="0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720" w:right="0" w:hanging="360"/>
              <w:jc w:val="left"/>
              <w:rPr>
                <w:sz w:val="20"/>
                <w:szCs w:val="20"/>
                <w:u w:val="none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Aprendendo com a experiência e escalando soluções</w:t>
            </w:r>
          </w:p>
        </w:tc>
      </w:tr>
      <w:tr>
        <w:trPr>
          <w:trHeight w:val="420" w:hRule="atLeast"/>
        </w:trPr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widowControl w:val="0"/>
              <w:spacing w:after="0" w:before="0" w:line="240" w:lineRule="auto"/>
              <w:ind w:left="0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widowControl w:val="0"/>
              <w:spacing w:line="24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Implementação e governança de redes e projetos inovadores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widowControl w:val="0"/>
              <w:numPr>
                <w:ilvl w:val="0"/>
                <w:numId w:val="3"/>
              </w:numPr>
              <w:spacing w:line="240" w:lineRule="auto"/>
              <w:ind w:left="720" w:hanging="36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Remover os obstáculos e empoderar as pessoas</w:t>
            </w:r>
          </w:p>
          <w:p w:rsidR="00000000" w:rsidDel="00000000" w:rsidP="00000000" w:rsidRDefault="00000000" w:rsidRPr="00000000" w14:paraId="00000035">
            <w:pPr>
              <w:widowControl w:val="0"/>
              <w:numPr>
                <w:ilvl w:val="0"/>
                <w:numId w:val="3"/>
              </w:numPr>
              <w:spacing w:line="240" w:lineRule="auto"/>
              <w:ind w:left="720" w:hanging="36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Apresentar vitórias no curto prazo</w:t>
            </w:r>
          </w:p>
          <w:p w:rsidR="00000000" w:rsidDel="00000000" w:rsidP="00000000" w:rsidRDefault="00000000" w:rsidRPr="00000000" w14:paraId="00000036">
            <w:pPr>
              <w:widowControl w:val="0"/>
              <w:numPr>
                <w:ilvl w:val="0"/>
                <w:numId w:val="3"/>
              </w:numPr>
              <w:spacing w:line="240" w:lineRule="auto"/>
              <w:ind w:left="720" w:hanging="36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Consolidar as vitórias e produzir mais mudanças</w:t>
            </w:r>
          </w:p>
          <w:p w:rsidR="00000000" w:rsidDel="00000000" w:rsidP="00000000" w:rsidRDefault="00000000" w:rsidRPr="00000000" w14:paraId="00000037">
            <w:pPr>
              <w:widowControl w:val="0"/>
              <w:numPr>
                <w:ilvl w:val="0"/>
                <w:numId w:val="3"/>
              </w:numPr>
              <w:spacing w:line="240" w:lineRule="auto"/>
              <w:ind w:left="720" w:hanging="36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Incorporar as mudanças na cultura organizacional</w:t>
            </w:r>
          </w:p>
        </w:tc>
      </w:tr>
    </w:tbl>
    <w:p w:rsidR="00000000" w:rsidDel="00000000" w:rsidP="00000000" w:rsidRDefault="00000000" w:rsidRPr="00000000" w14:paraId="00000038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39">
      <w:pPr>
        <w:spacing w:after="240" w:before="240" w:lineRule="auto"/>
        <w:jc w:val="both"/>
        <w:rPr>
          <w:b w:val="1"/>
        </w:rPr>
      </w:pPr>
      <w:r w:rsidDel="00000000" w:rsidR="00000000" w:rsidRPr="00000000">
        <w:rPr>
          <w:b w:val="1"/>
          <w:rtl w:val="0"/>
        </w:rPr>
        <w:t xml:space="preserve">Avaliação</w:t>
      </w:r>
    </w:p>
    <w:p w:rsidR="00000000" w:rsidDel="00000000" w:rsidP="00000000" w:rsidRDefault="00000000" w:rsidRPr="00000000" w14:paraId="0000003A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Exercícios em sala de aula: 65%. Exercícios entregues após a aula valem metade.</w:t>
      </w:r>
    </w:p>
    <w:p w:rsidR="00000000" w:rsidDel="00000000" w:rsidP="00000000" w:rsidRDefault="00000000" w:rsidRPr="00000000" w14:paraId="0000003B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Trabalho final: 35%. Estudo de caso sobre uma solução inovadora para um problema social complexo. </w:t>
      </w:r>
    </w:p>
    <w:p w:rsidR="00000000" w:rsidDel="00000000" w:rsidP="00000000" w:rsidRDefault="00000000" w:rsidRPr="00000000" w14:paraId="0000003C">
      <w:pPr>
        <w:spacing w:after="240" w:before="240" w:lineRule="auto"/>
        <w:jc w:val="both"/>
        <w:rPr>
          <w:b w:val="1"/>
        </w:rPr>
      </w:pPr>
      <w:r w:rsidDel="00000000" w:rsidR="00000000" w:rsidRPr="00000000">
        <w:rPr>
          <w:b w:val="1"/>
          <w:rtl w:val="0"/>
        </w:rPr>
        <w:t xml:space="preserve">Bibliografia</w:t>
      </w:r>
    </w:p>
    <w:p w:rsidR="00000000" w:rsidDel="00000000" w:rsidP="00000000" w:rsidRDefault="00000000" w:rsidRPr="00000000" w14:paraId="0000003D">
      <w:pPr>
        <w:rPr>
          <w:color w:val="222222"/>
          <w:sz w:val="20"/>
          <w:szCs w:val="20"/>
          <w:highlight w:val="white"/>
        </w:rPr>
      </w:pPr>
      <w:r w:rsidDel="00000000" w:rsidR="00000000" w:rsidRPr="00000000">
        <w:rPr>
          <w:color w:val="222222"/>
          <w:sz w:val="20"/>
          <w:szCs w:val="20"/>
          <w:highlight w:val="white"/>
          <w:rtl w:val="0"/>
        </w:rPr>
        <w:t xml:space="preserve">BROWN, Tim. </w:t>
      </w:r>
      <w:r w:rsidDel="00000000" w:rsidR="00000000" w:rsidRPr="00000000">
        <w:rPr>
          <w:b w:val="1"/>
          <w:color w:val="222222"/>
          <w:sz w:val="20"/>
          <w:szCs w:val="20"/>
          <w:highlight w:val="white"/>
          <w:rtl w:val="0"/>
        </w:rPr>
        <w:t xml:space="preserve">Design Thinking: uma metodologia poderosa para decretar o fim das velhas ideias</w:t>
      </w:r>
      <w:r w:rsidDel="00000000" w:rsidR="00000000" w:rsidRPr="00000000">
        <w:rPr>
          <w:color w:val="222222"/>
          <w:sz w:val="20"/>
          <w:szCs w:val="20"/>
          <w:highlight w:val="white"/>
          <w:rtl w:val="0"/>
        </w:rPr>
        <w:t xml:space="preserve">. Alta Books Editora, 2018.</w:t>
      </w:r>
    </w:p>
    <w:p w:rsidR="00000000" w:rsidDel="00000000" w:rsidP="00000000" w:rsidRDefault="00000000" w:rsidRPr="00000000" w14:paraId="0000003E">
      <w:pPr>
        <w:rPr>
          <w:color w:val="222222"/>
          <w:sz w:val="20"/>
          <w:szCs w:val="2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rPr>
          <w:color w:val="222222"/>
          <w:sz w:val="20"/>
          <w:szCs w:val="20"/>
          <w:highlight w:val="white"/>
        </w:rPr>
      </w:pPr>
      <w:r w:rsidDel="00000000" w:rsidR="00000000" w:rsidRPr="00000000">
        <w:rPr>
          <w:color w:val="222222"/>
          <w:sz w:val="20"/>
          <w:szCs w:val="20"/>
          <w:highlight w:val="white"/>
          <w:rtl w:val="0"/>
        </w:rPr>
        <w:t xml:space="preserve">BROWN, Tim; WYATT, Jocelyn. Design thinking for social innovation. </w:t>
      </w:r>
      <w:r w:rsidDel="00000000" w:rsidR="00000000" w:rsidRPr="00000000">
        <w:rPr>
          <w:b w:val="1"/>
          <w:color w:val="222222"/>
          <w:sz w:val="20"/>
          <w:szCs w:val="20"/>
          <w:highlight w:val="white"/>
          <w:rtl w:val="0"/>
        </w:rPr>
        <w:t xml:space="preserve">Development Outreach</w:t>
      </w:r>
      <w:r w:rsidDel="00000000" w:rsidR="00000000" w:rsidRPr="00000000">
        <w:rPr>
          <w:color w:val="222222"/>
          <w:sz w:val="20"/>
          <w:szCs w:val="20"/>
          <w:highlight w:val="white"/>
          <w:rtl w:val="0"/>
        </w:rPr>
        <w:t xml:space="preserve">, v. 12, n. 1, p. 29-43, 2010.</w:t>
      </w:r>
    </w:p>
    <w:p w:rsidR="00000000" w:rsidDel="00000000" w:rsidP="00000000" w:rsidRDefault="00000000" w:rsidRPr="00000000" w14:paraId="00000040">
      <w:pPr>
        <w:rPr>
          <w:color w:val="222222"/>
          <w:sz w:val="20"/>
          <w:szCs w:val="2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rPr>
          <w:color w:val="222222"/>
          <w:sz w:val="20"/>
          <w:szCs w:val="20"/>
          <w:highlight w:val="white"/>
        </w:rPr>
      </w:pPr>
      <w:r w:rsidDel="00000000" w:rsidR="00000000" w:rsidRPr="00000000">
        <w:rPr>
          <w:color w:val="222222"/>
          <w:sz w:val="20"/>
          <w:szCs w:val="20"/>
          <w:highlight w:val="white"/>
          <w:rtl w:val="0"/>
        </w:rPr>
        <w:t xml:space="preserve">CHOY, Esther. </w:t>
      </w:r>
      <w:r w:rsidDel="00000000" w:rsidR="00000000" w:rsidRPr="00000000">
        <w:rPr>
          <w:b w:val="1"/>
          <w:color w:val="222222"/>
          <w:sz w:val="20"/>
          <w:szCs w:val="20"/>
          <w:highlight w:val="white"/>
          <w:rtl w:val="0"/>
        </w:rPr>
        <w:t xml:space="preserve">Let the story do the work</w:t>
      </w:r>
      <w:r w:rsidDel="00000000" w:rsidR="00000000" w:rsidRPr="00000000">
        <w:rPr>
          <w:color w:val="222222"/>
          <w:sz w:val="20"/>
          <w:szCs w:val="20"/>
          <w:highlight w:val="white"/>
          <w:rtl w:val="0"/>
        </w:rPr>
        <w:t xml:space="preserve">: The art of storytelling for business success. Amacom, 2017.</w:t>
      </w:r>
    </w:p>
    <w:p w:rsidR="00000000" w:rsidDel="00000000" w:rsidP="00000000" w:rsidRDefault="00000000" w:rsidRPr="00000000" w14:paraId="00000042">
      <w:pPr>
        <w:rPr>
          <w:color w:val="222222"/>
          <w:sz w:val="20"/>
          <w:szCs w:val="2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rPr>
          <w:color w:val="222222"/>
          <w:sz w:val="20"/>
          <w:szCs w:val="20"/>
          <w:highlight w:val="white"/>
        </w:rPr>
      </w:pPr>
      <w:r w:rsidDel="00000000" w:rsidR="00000000" w:rsidRPr="00000000">
        <w:rPr>
          <w:color w:val="222222"/>
          <w:sz w:val="20"/>
          <w:szCs w:val="20"/>
          <w:highlight w:val="white"/>
          <w:rtl w:val="0"/>
        </w:rPr>
        <w:t xml:space="preserve">KOTTER, John; RATHGEBER, Holger. </w:t>
      </w:r>
      <w:r w:rsidDel="00000000" w:rsidR="00000000" w:rsidRPr="00000000">
        <w:rPr>
          <w:b w:val="1"/>
          <w:color w:val="222222"/>
          <w:sz w:val="20"/>
          <w:szCs w:val="20"/>
          <w:highlight w:val="white"/>
          <w:rtl w:val="0"/>
        </w:rPr>
        <w:t xml:space="preserve">Nosso iceberg está derretendo</w:t>
      </w:r>
      <w:r w:rsidDel="00000000" w:rsidR="00000000" w:rsidRPr="00000000">
        <w:rPr>
          <w:color w:val="222222"/>
          <w:sz w:val="20"/>
          <w:szCs w:val="20"/>
          <w:highlight w:val="white"/>
          <w:rtl w:val="0"/>
        </w:rPr>
        <w:t xml:space="preserve">. Editora Best Seller, 2018.</w:t>
      </w:r>
    </w:p>
    <w:p w:rsidR="00000000" w:rsidDel="00000000" w:rsidP="00000000" w:rsidRDefault="00000000" w:rsidRPr="00000000" w14:paraId="00000044">
      <w:pPr>
        <w:rPr>
          <w:color w:val="222222"/>
          <w:sz w:val="20"/>
          <w:szCs w:val="2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rPr>
          <w:sz w:val="20"/>
          <w:szCs w:val="20"/>
          <w:highlight w:val="white"/>
        </w:rPr>
      </w:pPr>
      <w:r w:rsidDel="00000000" w:rsidR="00000000" w:rsidRPr="00000000">
        <w:rPr>
          <w:sz w:val="20"/>
          <w:szCs w:val="20"/>
          <w:highlight w:val="white"/>
          <w:rtl w:val="0"/>
        </w:rPr>
        <w:t xml:space="preserve">NASON, Rick.</w:t>
      </w:r>
      <w:r w:rsidDel="00000000" w:rsidR="00000000" w:rsidRPr="00000000">
        <w:rPr>
          <w:b w:val="1"/>
          <w:sz w:val="20"/>
          <w:szCs w:val="20"/>
          <w:highlight w:val="white"/>
          <w:rtl w:val="0"/>
        </w:rPr>
        <w:t xml:space="preserve"> </w:t>
      </w:r>
      <w:r w:rsidDel="00000000" w:rsidR="00000000" w:rsidRPr="00000000">
        <w:rPr>
          <w:b w:val="1"/>
          <w:sz w:val="20"/>
          <w:szCs w:val="20"/>
          <w:highlight w:val="white"/>
          <w:rtl w:val="0"/>
        </w:rPr>
        <w:t xml:space="preserve">It’s Not Complicated: The Art and Science of Complexity in Business</w:t>
      </w:r>
      <w:r w:rsidDel="00000000" w:rsidR="00000000" w:rsidRPr="00000000">
        <w:rPr>
          <w:sz w:val="20"/>
          <w:szCs w:val="20"/>
          <w:highlight w:val="white"/>
          <w:rtl w:val="0"/>
        </w:rPr>
        <w:t xml:space="preserve">. Toronto: Rotman-UTP Publishing, 2017.</w:t>
      </w:r>
    </w:p>
    <w:p w:rsidR="00000000" w:rsidDel="00000000" w:rsidP="00000000" w:rsidRDefault="00000000" w:rsidRPr="00000000" w14:paraId="00000046">
      <w:pPr>
        <w:rPr>
          <w:color w:val="222222"/>
          <w:sz w:val="20"/>
          <w:szCs w:val="2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rPr>
          <w:color w:val="222222"/>
          <w:sz w:val="20"/>
          <w:szCs w:val="20"/>
          <w:highlight w:val="white"/>
        </w:rPr>
      </w:pPr>
      <w:r w:rsidDel="00000000" w:rsidR="00000000" w:rsidRPr="00000000">
        <w:rPr>
          <w:color w:val="222222"/>
          <w:sz w:val="20"/>
          <w:szCs w:val="20"/>
          <w:highlight w:val="white"/>
          <w:rtl w:val="0"/>
        </w:rPr>
        <w:t xml:space="preserve">CALMON, Paulo; COSTA, Arthur Trindade Maranhão. Redes e governança das políticas públicas. </w:t>
      </w:r>
      <w:r w:rsidDel="00000000" w:rsidR="00000000" w:rsidRPr="00000000">
        <w:rPr>
          <w:b w:val="1"/>
          <w:color w:val="222222"/>
          <w:sz w:val="20"/>
          <w:szCs w:val="20"/>
          <w:highlight w:val="white"/>
          <w:rtl w:val="0"/>
        </w:rPr>
        <w:t xml:space="preserve">RP3-Revista de Pesquisa em Políticas Públicas</w:t>
      </w:r>
      <w:r w:rsidDel="00000000" w:rsidR="00000000" w:rsidRPr="00000000">
        <w:rPr>
          <w:color w:val="222222"/>
          <w:sz w:val="20"/>
          <w:szCs w:val="20"/>
          <w:highlight w:val="white"/>
          <w:rtl w:val="0"/>
        </w:rPr>
        <w:t xml:space="preserve">, n. 1, 2013.</w:t>
      </w:r>
    </w:p>
    <w:p w:rsidR="00000000" w:rsidDel="00000000" w:rsidP="00000000" w:rsidRDefault="00000000" w:rsidRPr="00000000" w14:paraId="00000048">
      <w:pPr>
        <w:rPr>
          <w:color w:val="222222"/>
          <w:sz w:val="20"/>
          <w:szCs w:val="2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rPr>
          <w:color w:val="222222"/>
          <w:sz w:val="20"/>
          <w:szCs w:val="20"/>
          <w:highlight w:val="white"/>
        </w:rPr>
      </w:pPr>
      <w:r w:rsidDel="00000000" w:rsidR="00000000" w:rsidRPr="00000000">
        <w:rPr>
          <w:color w:val="222222"/>
          <w:sz w:val="20"/>
          <w:szCs w:val="20"/>
          <w:highlight w:val="white"/>
          <w:rtl w:val="0"/>
        </w:rPr>
        <w:t xml:space="preserve">VARVASOVSZKY, Zsuzsa; BRUGHA, Ruairí. A stakeholder analysis. </w:t>
      </w:r>
      <w:r w:rsidDel="00000000" w:rsidR="00000000" w:rsidRPr="00000000">
        <w:rPr>
          <w:b w:val="1"/>
          <w:color w:val="222222"/>
          <w:sz w:val="20"/>
          <w:szCs w:val="20"/>
          <w:highlight w:val="white"/>
          <w:rtl w:val="0"/>
        </w:rPr>
        <w:t xml:space="preserve">Health policy and planning</w:t>
      </w:r>
      <w:r w:rsidDel="00000000" w:rsidR="00000000" w:rsidRPr="00000000">
        <w:rPr>
          <w:color w:val="222222"/>
          <w:sz w:val="20"/>
          <w:szCs w:val="20"/>
          <w:highlight w:val="white"/>
          <w:rtl w:val="0"/>
        </w:rPr>
        <w:t xml:space="preserve">, v. 15, n. 3, p. 338-345, 2000.</w:t>
      </w:r>
    </w:p>
    <w:p w:rsidR="00000000" w:rsidDel="00000000" w:rsidP="00000000" w:rsidRDefault="00000000" w:rsidRPr="00000000" w14:paraId="0000004A">
      <w:pPr>
        <w:pStyle w:val="Heading5"/>
        <w:keepNext w:val="0"/>
        <w:keepLines w:val="0"/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100" w:before="400" w:line="394.2864" w:lineRule="auto"/>
        <w:rPr>
          <w:b w:val="1"/>
          <w:color w:val="898989"/>
          <w:sz w:val="20"/>
          <w:szCs w:val="20"/>
          <w:highlight w:val="white"/>
        </w:rPr>
      </w:pPr>
      <w:bookmarkStart w:colFirst="0" w:colLast="0" w:name="_y48w46vwgl6u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rPr>
          <w:color w:val="222222"/>
          <w:sz w:val="20"/>
          <w:szCs w:val="20"/>
          <w:highlight w:val="white"/>
        </w:rPr>
      </w:pPr>
      <w:r w:rsidDel="00000000" w:rsidR="00000000" w:rsidRPr="00000000">
        <w:rPr>
          <w:rtl w:val="0"/>
        </w:rPr>
      </w:r>
    </w:p>
    <w:sectPr>
      <w:headerReference r:id="rId6" w:type="default"/>
      <w:pgSz w:h="16834" w:w="11909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C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