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de São Paulo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Especialização em Promoção do Desenvolvimento Infantil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Inovação na solução de problemas sociais complexos (30h)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Docentes: Fernanda Veríssimo Soulé e Silvio Eduardo Alvarez Candido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propósito do curso é apresentar um conjunto de estratégias e técnicas para a resolução inovadora de problemas sociais complexos e discutir sua aplicação no contexto da promoção do desenvolvimento infantil.   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Diretrizes metodológicas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curso envolverá uma combinação de exposições dos docentes e de exercícios em grupos protagonizados pelos alunos. Os grupos formados serão interdisciplinares, envolvendo discentes com diferentes formações e atuações profissionais. O grupo de trabalho será fixo para todas as atividades do curso, e seu desempenho será a base da avaliação dos alunos.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aulas</w:t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3165"/>
        <w:gridCol w:w="4095"/>
        <w:tblGridChange w:id="0">
          <w:tblGrid>
            <w:gridCol w:w="1755"/>
            <w:gridCol w:w="3165"/>
            <w:gridCol w:w="40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Tópicos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Conteúdos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06/12/2018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do curso e alinhamento de expectativas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Definindo problemas complexos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Problemas simples e sua resolução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Problemas complexos e sua resolução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Problemas sociais complexos em Desenvolvimento Infantil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Mobilização e organização para resolução de problemas complexos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Iniciativas em redes multi-setoriais para a resolução de problemas complexos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e análise de grupos de interesse (stakeholders)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Noções de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storytelling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Acordos para mediar as relações 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13/12/2018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Diagnosticando problemas desestruturados e definindo focos estratégicos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Introdução ao Design Thinking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Identificando e comunicando o desafio estratégico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Compreensão abstrata versus compreensão prática dos problemas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Compreensão dos problemas no contexto das relações sociais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Ferramentas: Pesquisa etnográfica, Entrevistas, Grupos focais e grupos não focais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Construindo soluções inovadoras para problemas sociais complexos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Inovação e eficiência, duas lógicas distintas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Definindo e combinando pensamento divergente e convergente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Ambientes organizacionais inovadores (adhocracias x burocracias)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Ferramentas para a criação de ideias: brainstorming; brainwriting; world cafe, pensamento visual.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Pré-seleção de ideias e criação de convergências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07/02/2019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Construindo soluções inovadoras para problemas sociais complexos (cont)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Concretização de ideias e teste de conceitos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Técnicas para desenvolvimento e refinamento de ideias: pensamento integrativo e bricolagem, imersão, prototipagem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Soluções minimamente viáveis e implementação de pilotos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Aprendendo com a experiência e escalando soluções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Implementação e governança de redes e projetos inovadores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Remover os obstáculos e empoderar as pessoas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Apresentar vitórias no curto prazo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Consolidar as vitórias e produzir mais mudanças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Incorporar as mudanças na cultura organizacional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Exercícios em sala de aula: 65%. Exercícios entregues após a aula valem metade.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Trabalho final: 35%. Estudo de caso sobre uma solução inovadora para um problema social complexo. 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Bibliografia</w:t>
      </w:r>
    </w:p>
    <w:p w:rsidR="00000000" w:rsidDel="00000000" w:rsidP="00000000" w:rsidRDefault="00000000" w:rsidRPr="00000000" w14:paraId="0000003D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BROWN, Tim.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Design Thinking: uma metodologia poderosa para decretar o fim das velhas ideias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Alta Books Editora, 2018.</w:t>
      </w:r>
    </w:p>
    <w:p w:rsidR="00000000" w:rsidDel="00000000" w:rsidP="00000000" w:rsidRDefault="00000000" w:rsidRPr="00000000" w14:paraId="0000003E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BROWN, Tim; WYATT, Jocelyn. Design thinking for social innovation.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Development Outreach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12, n. 1, p. 29-43, 2010.</w:t>
      </w:r>
    </w:p>
    <w:p w:rsidR="00000000" w:rsidDel="00000000" w:rsidP="00000000" w:rsidRDefault="00000000" w:rsidRPr="00000000" w14:paraId="00000040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CHOY, Esther.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Let the story do the work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: The art of storytelling for business success. Amacom, 2017.</w:t>
      </w:r>
    </w:p>
    <w:p w:rsidR="00000000" w:rsidDel="00000000" w:rsidP="00000000" w:rsidRDefault="00000000" w:rsidRPr="00000000" w14:paraId="00000042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KOTTER, John; RATHGEBER, Holger.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Nosso iceberg está derretendo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Editora Best Seller, 2018.</w:t>
      </w:r>
    </w:p>
    <w:p w:rsidR="00000000" w:rsidDel="00000000" w:rsidP="00000000" w:rsidRDefault="00000000" w:rsidRPr="00000000" w14:paraId="00000044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NASON, Rick.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It’s Not Complicated: The Art and Science of Complexity in Business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Toronto: Rotman-UTP Publishing, 2017.</w:t>
      </w:r>
    </w:p>
    <w:p w:rsidR="00000000" w:rsidDel="00000000" w:rsidP="00000000" w:rsidRDefault="00000000" w:rsidRPr="00000000" w14:paraId="00000046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CALMON, Paulo; COSTA, Arthur Trindade Maranhão. Redes e governança das políticas públicas.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RP3-Revista de Pesquisa em Políticas Públicas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n. 1, 2013.</w:t>
      </w:r>
    </w:p>
    <w:p w:rsidR="00000000" w:rsidDel="00000000" w:rsidP="00000000" w:rsidRDefault="00000000" w:rsidRPr="00000000" w14:paraId="00000048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VARVASOVSZKY, Zsuzsa; BRUGHA, Ruairí. A stakeholder analysis.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Health policy and planning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15, n. 3, p. 338-345, 2000.</w:t>
      </w:r>
    </w:p>
    <w:p w:rsidR="00000000" w:rsidDel="00000000" w:rsidP="00000000" w:rsidRDefault="00000000" w:rsidRPr="00000000" w14:paraId="0000004A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400" w:line="394.2864" w:lineRule="auto"/>
        <w:rPr>
          <w:b w:val="1"/>
          <w:color w:val="898989"/>
          <w:sz w:val="20"/>
          <w:szCs w:val="20"/>
          <w:highlight w:val="white"/>
        </w:rPr>
      </w:pPr>
      <w:bookmarkStart w:colFirst="0" w:colLast="0" w:name="_y48w46vwgl6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