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50B15" w:rsidRPr="00F50B15" w:rsidRDefault="00F50B15" w:rsidP="00F50B1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pt-BR"/>
        </w:rPr>
      </w:pPr>
      <w:r w:rsidRPr="00F50B15">
        <w:rPr>
          <w:rFonts w:ascii="Calibri" w:eastAsia="Times New Roman" w:hAnsi="Calibri" w:cs="Times New Roman"/>
          <w:b/>
          <w:bCs/>
          <w:sz w:val="32"/>
          <w:szCs w:val="32"/>
          <w:lang w:eastAsia="pt-BR"/>
        </w:rPr>
        <w:t>FACULDADE</w:t>
      </w:r>
      <w:r w:rsidRPr="00F50B15">
        <w:rPr>
          <w:rFonts w:ascii="Times New Roman" w:eastAsia="Times New Roman" w:hAnsi="Times New Roman" w:cs="Times New Roman"/>
          <w:b/>
          <w:bCs/>
          <w:sz w:val="32"/>
          <w:szCs w:val="32"/>
          <w:lang w:eastAsia="pt-BR"/>
        </w:rPr>
        <w:t xml:space="preserve"> DE SAÚDE PÚBLICA</w:t>
      </w:r>
    </w:p>
    <w:p w:rsidR="00F50B15" w:rsidRPr="00F50B15" w:rsidRDefault="00F50B15" w:rsidP="00F50B1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pt-BR"/>
        </w:rPr>
      </w:pPr>
      <w:r w:rsidRPr="00F50B15">
        <w:rPr>
          <w:rFonts w:ascii="Times New Roman" w:eastAsia="Times New Roman" w:hAnsi="Times New Roman" w:cs="Times New Roman"/>
          <w:b/>
          <w:bCs/>
          <w:sz w:val="32"/>
          <w:szCs w:val="32"/>
          <w:lang w:eastAsia="pt-BR"/>
        </w:rPr>
        <w:t>PROGRAMA DE</w:t>
      </w:r>
      <w:r w:rsidR="009C6BF6">
        <w:rPr>
          <w:rFonts w:ascii="Times New Roman" w:eastAsia="Times New Roman" w:hAnsi="Times New Roman" w:cs="Times New Roman"/>
          <w:b/>
          <w:bCs/>
          <w:sz w:val="32"/>
          <w:szCs w:val="32"/>
          <w:lang w:eastAsia="pt-BR"/>
        </w:rPr>
        <w:t xml:space="preserve"> VERÃO 202</w:t>
      </w:r>
      <w:r w:rsidR="00757DC5">
        <w:rPr>
          <w:rFonts w:ascii="Times New Roman" w:eastAsia="Times New Roman" w:hAnsi="Times New Roman" w:cs="Times New Roman"/>
          <w:b/>
          <w:bCs/>
          <w:sz w:val="32"/>
          <w:szCs w:val="32"/>
          <w:lang w:eastAsia="pt-BR"/>
        </w:rPr>
        <w:t>5</w:t>
      </w:r>
      <w:r w:rsidRPr="00F50B15">
        <w:rPr>
          <w:rFonts w:ascii="Times New Roman" w:eastAsia="Times New Roman" w:hAnsi="Times New Roman" w:cs="Times New Roman"/>
          <w:b/>
          <w:bCs/>
          <w:sz w:val="32"/>
          <w:szCs w:val="32"/>
          <w:lang w:eastAsia="pt-BR"/>
        </w:rPr>
        <w:t xml:space="preserve"> </w:t>
      </w:r>
    </w:p>
    <w:p w:rsidR="00F50B15" w:rsidRPr="00F50B15" w:rsidRDefault="00FB2116" w:rsidP="00F50B1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ANÁLISE ESPACIAL EM SAÚDE PÚBLICA</w:t>
      </w:r>
    </w:p>
    <w:p w:rsidR="00F50B15" w:rsidRPr="00F50B15" w:rsidRDefault="00F50B15" w:rsidP="00F50B1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F50B15" w:rsidRPr="00F50B15" w:rsidRDefault="00437E71" w:rsidP="00F50B15">
      <w:pPr>
        <w:spacing w:before="120" w:after="120" w:line="240" w:lineRule="auto"/>
        <w:jc w:val="center"/>
        <w:rPr>
          <w:rFonts w:ascii="Calibri" w:eastAsia="Times New Roman" w:hAnsi="Calibri" w:cs="Times New Roman"/>
          <w:b/>
          <w:bCs/>
          <w:color w:val="000099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99"/>
          <w:sz w:val="24"/>
          <w:szCs w:val="24"/>
          <w:lang w:eastAsia="pt-BR"/>
        </w:rPr>
        <w:t xml:space="preserve">GABARITO - </w:t>
      </w:r>
      <w:r w:rsidR="00F50B15" w:rsidRPr="00F50B15">
        <w:rPr>
          <w:rFonts w:ascii="Calibri" w:eastAsia="Times New Roman" w:hAnsi="Calibri" w:cs="Times New Roman"/>
          <w:b/>
          <w:bCs/>
          <w:color w:val="000099"/>
          <w:sz w:val="24"/>
          <w:szCs w:val="24"/>
          <w:lang w:eastAsia="pt-BR"/>
        </w:rPr>
        <w:t>EXERCÍCIO – AULA</w:t>
      </w:r>
      <w:r w:rsidR="009C6BF6">
        <w:rPr>
          <w:rFonts w:ascii="Calibri" w:eastAsia="Times New Roman" w:hAnsi="Calibri" w:cs="Times New Roman"/>
          <w:b/>
          <w:bCs/>
          <w:color w:val="000099"/>
          <w:sz w:val="24"/>
          <w:szCs w:val="24"/>
          <w:lang w:eastAsia="pt-BR"/>
        </w:rPr>
        <w:t xml:space="preserve"> </w:t>
      </w:r>
      <w:r w:rsidR="00BD68D6">
        <w:rPr>
          <w:rFonts w:ascii="Calibri" w:eastAsia="Times New Roman" w:hAnsi="Calibri" w:cs="Times New Roman"/>
          <w:b/>
          <w:bCs/>
          <w:color w:val="000099"/>
          <w:sz w:val="24"/>
          <w:szCs w:val="24"/>
          <w:lang w:eastAsia="pt-BR"/>
        </w:rPr>
        <w:t>4</w:t>
      </w:r>
      <w:r w:rsidR="00F50B15">
        <w:rPr>
          <w:rFonts w:ascii="Calibri" w:eastAsia="Times New Roman" w:hAnsi="Calibri" w:cs="Times New Roman"/>
          <w:b/>
          <w:bCs/>
          <w:color w:val="000099"/>
          <w:sz w:val="24"/>
          <w:szCs w:val="24"/>
          <w:lang w:eastAsia="pt-BR"/>
        </w:rPr>
        <w:t xml:space="preserve"> – GEODA – MORAN GLOBAL E LOCAL</w:t>
      </w:r>
    </w:p>
    <w:p w:rsidR="00DE4857" w:rsidRDefault="00DE4857" w:rsidP="00005780">
      <w:pPr>
        <w:spacing w:after="0" w:line="240" w:lineRule="auto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</w:p>
    <w:p w:rsidR="00005780" w:rsidRPr="00005780" w:rsidRDefault="004B6034" w:rsidP="0000578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sz w:val="24"/>
          <w:szCs w:val="24"/>
          <w:lang w:eastAsia="pt-BR"/>
        </w:rPr>
        <w:t>O shape ‘</w:t>
      </w:r>
      <w:proofErr w:type="spellStart"/>
      <w:r>
        <w:rPr>
          <w:rFonts w:ascii="Calibri" w:eastAsia="Times New Roman" w:hAnsi="Calibri" w:cs="Times New Roman"/>
          <w:sz w:val="24"/>
          <w:szCs w:val="24"/>
          <w:lang w:eastAsia="pt-BR"/>
        </w:rPr>
        <w:t>scen_varz_deng_sirgas</w:t>
      </w:r>
      <w:r w:rsidR="00005780" w:rsidRPr="00005780">
        <w:rPr>
          <w:rFonts w:ascii="Calibri" w:eastAsia="Times New Roman" w:hAnsi="Calibri" w:cs="Times New Roman"/>
          <w:sz w:val="24"/>
          <w:szCs w:val="24"/>
          <w:lang w:eastAsia="pt-BR"/>
        </w:rPr>
        <w:t>.shp</w:t>
      </w:r>
      <w:proofErr w:type="spellEnd"/>
      <w:r w:rsidR="00005780" w:rsidRPr="00005780">
        <w:rPr>
          <w:rFonts w:ascii="Calibri" w:eastAsia="Times New Roman" w:hAnsi="Calibri" w:cs="Times New Roman"/>
          <w:sz w:val="24"/>
          <w:szCs w:val="24"/>
          <w:lang w:eastAsia="pt-BR"/>
        </w:rPr>
        <w:t xml:space="preserve">’ contém os setores censitários da cidade de </w:t>
      </w:r>
      <w:proofErr w:type="spellStart"/>
      <w:r w:rsidR="00005780">
        <w:rPr>
          <w:rFonts w:ascii="Calibri" w:eastAsia="Times New Roman" w:hAnsi="Calibri" w:cs="Times New Roman"/>
          <w:sz w:val="24"/>
          <w:szCs w:val="24"/>
          <w:lang w:eastAsia="pt-BR"/>
        </w:rPr>
        <w:t>Varzea</w:t>
      </w:r>
      <w:proofErr w:type="spellEnd"/>
      <w:r w:rsidR="00005780">
        <w:rPr>
          <w:rFonts w:ascii="Calibri" w:eastAsia="Times New Roman" w:hAnsi="Calibri" w:cs="Times New Roman"/>
          <w:sz w:val="24"/>
          <w:szCs w:val="24"/>
          <w:lang w:eastAsia="pt-BR"/>
        </w:rPr>
        <w:t xml:space="preserve"> Paulista</w:t>
      </w:r>
      <w:r w:rsidR="00005780" w:rsidRPr="00005780">
        <w:rPr>
          <w:rFonts w:ascii="Calibri" w:eastAsia="Times New Roman" w:hAnsi="Calibri" w:cs="Times New Roman"/>
          <w:sz w:val="24"/>
          <w:szCs w:val="24"/>
          <w:lang w:eastAsia="pt-BR"/>
        </w:rPr>
        <w:t>, SP, com informações sobre os números de casos de dengue ocorridos nos setores</w:t>
      </w:r>
      <w:r w:rsidR="00005780">
        <w:rPr>
          <w:rFonts w:ascii="Calibri" w:eastAsia="Times New Roman" w:hAnsi="Calibri" w:cs="Times New Roman"/>
          <w:sz w:val="24"/>
          <w:szCs w:val="24"/>
          <w:lang w:eastAsia="pt-BR"/>
        </w:rPr>
        <w:t>,</w:t>
      </w:r>
      <w:r w:rsidR="00005780" w:rsidRPr="00005780">
        <w:rPr>
          <w:rFonts w:ascii="Calibri" w:eastAsia="Times New Roman" w:hAnsi="Calibri" w:cs="Times New Roman"/>
          <w:sz w:val="24"/>
          <w:szCs w:val="24"/>
          <w:lang w:eastAsia="pt-BR"/>
        </w:rPr>
        <w:t xml:space="preserve"> as respectivas populações</w:t>
      </w:r>
      <w:r w:rsidR="00005780">
        <w:rPr>
          <w:rFonts w:ascii="Calibri" w:eastAsia="Times New Roman" w:hAnsi="Calibri" w:cs="Times New Roman"/>
          <w:sz w:val="24"/>
          <w:szCs w:val="24"/>
          <w:lang w:eastAsia="pt-BR"/>
        </w:rPr>
        <w:t xml:space="preserve"> e duas componentes principais obtidas com base em variáveis socioeconômicas</w:t>
      </w:r>
      <w:r w:rsidR="00005780" w:rsidRPr="00005780">
        <w:rPr>
          <w:rFonts w:ascii="Calibri" w:eastAsia="Times New Roman" w:hAnsi="Calibri" w:cs="Times New Roman"/>
          <w:sz w:val="24"/>
          <w:szCs w:val="24"/>
          <w:lang w:eastAsia="pt-BR"/>
        </w:rPr>
        <w:t xml:space="preserve">. </w:t>
      </w:r>
      <w:r w:rsidR="00005780">
        <w:rPr>
          <w:rFonts w:ascii="Calibri" w:eastAsia="Times New Roman" w:hAnsi="Calibri" w:cs="Times New Roman"/>
          <w:sz w:val="24"/>
          <w:szCs w:val="24"/>
          <w:lang w:eastAsia="pt-BR"/>
        </w:rPr>
        <w:t xml:space="preserve">Estes foram utilizados para elaborar o artigo de Farinelli et al 2018. </w:t>
      </w:r>
      <w:r w:rsidR="00005780" w:rsidRPr="00005780">
        <w:rPr>
          <w:rFonts w:ascii="Calibri" w:eastAsia="Times New Roman" w:hAnsi="Calibri" w:cs="Times New Roman"/>
          <w:sz w:val="24"/>
          <w:szCs w:val="24"/>
          <w:lang w:eastAsia="pt-BR"/>
        </w:rPr>
        <w:t>Faça o que está sendo solicitado nos itens abaixo</w:t>
      </w:r>
      <w:r w:rsidR="006466D0">
        <w:rPr>
          <w:rFonts w:ascii="Calibri" w:eastAsia="Times New Roman" w:hAnsi="Calibri" w:cs="Times New Roman"/>
          <w:sz w:val="24"/>
          <w:szCs w:val="24"/>
          <w:lang w:eastAsia="pt-BR"/>
        </w:rPr>
        <w:t xml:space="preserve">, usando o software </w:t>
      </w:r>
      <w:proofErr w:type="spellStart"/>
      <w:r w:rsidR="006466D0">
        <w:rPr>
          <w:rFonts w:ascii="Calibri" w:eastAsia="Times New Roman" w:hAnsi="Calibri" w:cs="Times New Roman"/>
          <w:sz w:val="24"/>
          <w:szCs w:val="24"/>
          <w:lang w:eastAsia="pt-BR"/>
        </w:rPr>
        <w:t>GeoDA</w:t>
      </w:r>
      <w:proofErr w:type="spellEnd"/>
      <w:r w:rsidR="00005780" w:rsidRPr="00005780">
        <w:rPr>
          <w:rFonts w:ascii="Calibri" w:eastAsia="Times New Roman" w:hAnsi="Calibri" w:cs="Times New Roman"/>
          <w:sz w:val="24"/>
          <w:szCs w:val="24"/>
          <w:lang w:eastAsia="pt-BR"/>
        </w:rPr>
        <w:t>.</w:t>
      </w:r>
    </w:p>
    <w:p w:rsidR="00F50B15" w:rsidRDefault="00F50B15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 w:rsidRP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1 </w:t>
      </w:r>
      <w:r w:rsidR="002220EC" w:rsidRP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>–</w:t>
      </w:r>
      <w:r w:rsidRP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</w:t>
      </w:r>
      <w:r w:rsidR="002220EC" w:rsidRP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>Calcule</w:t>
      </w:r>
      <w:r w:rsidR="006466D0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</w:t>
      </w:r>
      <w:r w:rsidR="002220EC" w:rsidRP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>a taxa</w:t>
      </w:r>
      <w:r w:rsid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bruta de incidência de dengue, por 100.000 habitantes para os setores censitários urbanos de Várzea Paulista.</w:t>
      </w:r>
      <w:r w:rsidR="009B592C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Obtenha o mapa temático desta taxa.</w:t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Resposta:</w:t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4404360" cy="212753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03" cy="213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4686300" cy="2952104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601" cy="29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663440" cy="2272439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38" cy="227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4662501" cy="2880360"/>
            <wp:effectExtent l="0" t="0" r="508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5" cy="288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3863340" cy="2559191"/>
            <wp:effectExtent l="0" t="0" r="381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89" cy="257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EC" w:rsidRDefault="002220EC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2 – Obtenha a matriz de vizinhança por contiguidade do tipo Queen. Use 100 como “</w:t>
      </w:r>
      <w:proofErr w:type="spellStart"/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Precision</w:t>
      </w:r>
      <w:proofErr w:type="spellEnd"/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</w:t>
      </w:r>
      <w:proofErr w:type="spellStart"/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threshold</w:t>
      </w:r>
      <w:proofErr w:type="spellEnd"/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” para contornar problemas de topologia e setores sem vizinhos.</w:t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Resposta:</w:t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909060" cy="289866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337" cy="290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3886200" cy="2470042"/>
            <wp:effectExtent l="0" t="0" r="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51" cy="247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EC" w:rsidRDefault="002220EC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3 – Calcule o índice de Moran Global para a taxa bruta e seu valor de p.</w:t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Resposta:</w:t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5108331" cy="1767713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53" cy="17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EC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4 – Obtenha o LISA</w:t>
      </w:r>
      <w:r w:rsid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</w:t>
      </w:r>
      <w:proofErr w:type="spellStart"/>
      <w:r w:rsid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>map</w:t>
      </w:r>
      <w:proofErr w:type="spellEnd"/>
      <w:r w:rsid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relativo ao Moran local para a taxa bruta e interprete os resultados.</w:t>
      </w:r>
    </w:p>
    <w:p w:rsidR="00437E71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Resposta:</w:t>
      </w:r>
    </w:p>
    <w:p w:rsidR="009573A2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125915" cy="176460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01" cy="176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2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Destaca-se, no LISA </w:t>
      </w:r>
      <w:proofErr w:type="spellStart"/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map</w:t>
      </w:r>
      <w:proofErr w:type="spellEnd"/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, uma área localizada na parte noroeste da cidade com alto valores de incidência de dengue. Destacam-se também, áreas de baixo risco localizada em diferentes áreas do município.</w:t>
      </w:r>
    </w:p>
    <w:p w:rsidR="002220EC" w:rsidRDefault="009B592C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5 – Calcule o índice de Moran Global bivariado considerando a taxa brut</w:t>
      </w:r>
      <w:r w:rsidR="00CD1FEE">
        <w:rPr>
          <w:rFonts w:ascii="Calibri" w:eastAsia="Times New Roman" w:hAnsi="Calibri" w:cs="Times New Roman"/>
          <w:bCs/>
          <w:sz w:val="24"/>
          <w:szCs w:val="24"/>
          <w:lang w:eastAsia="pt-BR"/>
        </w:rPr>
        <w:t>a (X) e a componente principal 2 (a_PC2</w:t>
      </w: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_td) (Y) e interprete o</w:t>
      </w:r>
      <w:r w:rsidR="00FC62AD">
        <w:rPr>
          <w:rFonts w:ascii="Calibri" w:eastAsia="Times New Roman" w:hAnsi="Calibri" w:cs="Times New Roman"/>
          <w:bCs/>
          <w:sz w:val="24"/>
          <w:szCs w:val="24"/>
          <w:lang w:eastAsia="pt-BR"/>
        </w:rPr>
        <w:t>s resultados. Para isso faça um</w:t>
      </w: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mapa temático desta componente principal e</w:t>
      </w:r>
      <w:r w:rsidR="009573A2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compare com</w:t>
      </w: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o mapa da taxa obtido no item 1.</w:t>
      </w:r>
    </w:p>
    <w:p w:rsidR="009573A2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Resposta:</w:t>
      </w:r>
    </w:p>
    <w:p w:rsidR="009573A2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3640015" cy="218135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19" cy="21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2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5398770" cy="1846580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2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Nota-se, comparando os dois mapas, que as regiões com </w:t>
      </w:r>
      <w:r w:rsidR="004461D5">
        <w:rPr>
          <w:rFonts w:ascii="Calibri" w:eastAsia="Times New Roman" w:hAnsi="Calibri" w:cs="Times New Roman"/>
          <w:bCs/>
          <w:sz w:val="24"/>
          <w:szCs w:val="24"/>
          <w:lang w:eastAsia="pt-BR"/>
        </w:rPr>
        <w:t>maiores os</w:t>
      </w: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valores da PC2</w:t>
      </w:r>
      <w:r w:rsidR="004461D5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, maiores são os valores da incidência. </w:t>
      </w:r>
    </w:p>
    <w:p w:rsidR="009B592C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6 – Obtenha o LISA</w:t>
      </w:r>
      <w:r w:rsidR="009B592C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</w:t>
      </w:r>
      <w:proofErr w:type="spellStart"/>
      <w:r w:rsidR="009B592C">
        <w:rPr>
          <w:rFonts w:ascii="Calibri" w:eastAsia="Times New Roman" w:hAnsi="Calibri" w:cs="Times New Roman"/>
          <w:bCs/>
          <w:sz w:val="24"/>
          <w:szCs w:val="24"/>
          <w:lang w:eastAsia="pt-BR"/>
        </w:rPr>
        <w:t>map</w:t>
      </w:r>
      <w:proofErr w:type="spellEnd"/>
      <w:r w:rsidR="009B592C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relativo ao Moran local bivariado considerando a taxa brut</w:t>
      </w:r>
      <w:r w:rsidR="00CD1FEE">
        <w:rPr>
          <w:rFonts w:ascii="Calibri" w:eastAsia="Times New Roman" w:hAnsi="Calibri" w:cs="Times New Roman"/>
          <w:bCs/>
          <w:sz w:val="24"/>
          <w:szCs w:val="24"/>
          <w:lang w:eastAsia="pt-BR"/>
        </w:rPr>
        <w:t>a (X) e a componente principal 2 (a_PC2</w:t>
      </w:r>
      <w:r w:rsidR="009B592C">
        <w:rPr>
          <w:rFonts w:ascii="Calibri" w:eastAsia="Times New Roman" w:hAnsi="Calibri" w:cs="Times New Roman"/>
          <w:bCs/>
          <w:sz w:val="24"/>
          <w:szCs w:val="24"/>
          <w:lang w:eastAsia="pt-BR"/>
        </w:rPr>
        <w:t>_td) (Y) e interprete os resultados.</w:t>
      </w:r>
    </w:p>
    <w:p w:rsidR="004461D5" w:rsidRDefault="004461D5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Resposta:</w:t>
      </w:r>
    </w:p>
    <w:p w:rsidR="004461D5" w:rsidRDefault="004461D5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89880" cy="1802130"/>
            <wp:effectExtent l="0" t="0" r="127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5" w:rsidRDefault="004461D5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Áreas com altas incidências têm como vizinhos áreas com maiores valores da PC2 e vice-versa.</w:t>
      </w:r>
    </w:p>
    <w:sectPr w:rsidR="004461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B15"/>
    <w:rsid w:val="00005780"/>
    <w:rsid w:val="002220EC"/>
    <w:rsid w:val="00437E71"/>
    <w:rsid w:val="004461D5"/>
    <w:rsid w:val="004B6034"/>
    <w:rsid w:val="005C2D6B"/>
    <w:rsid w:val="006466D0"/>
    <w:rsid w:val="00757DC5"/>
    <w:rsid w:val="00787C8E"/>
    <w:rsid w:val="00936C41"/>
    <w:rsid w:val="009573A2"/>
    <w:rsid w:val="009B592C"/>
    <w:rsid w:val="009C6BF6"/>
    <w:rsid w:val="00BD68D6"/>
    <w:rsid w:val="00BE4C44"/>
    <w:rsid w:val="00CD1FEE"/>
    <w:rsid w:val="00DE4857"/>
    <w:rsid w:val="00F50B15"/>
    <w:rsid w:val="00FB2116"/>
    <w:rsid w:val="00FC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3AC13"/>
  <w15:docId w15:val="{6EC94BFF-52FD-497C-B331-CC55257A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B59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</dc:creator>
  <cp:lastModifiedBy>Daiane Leite da Roza</cp:lastModifiedBy>
  <cp:revision>2</cp:revision>
  <dcterms:created xsi:type="dcterms:W3CDTF">2025-02-11T11:48:00Z</dcterms:created>
  <dcterms:modified xsi:type="dcterms:W3CDTF">2025-02-11T11:48:00Z</dcterms:modified>
</cp:coreProperties>
</file>